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3FE6" w:rsidRPr="00B13FE6" w:rsidRDefault="00B13FE6" w:rsidP="00B13FE6">
      <w:pPr>
        <w:shd w:val="clear" w:color="auto" w:fill="FFFFFF"/>
        <w:spacing w:before="161" w:after="161" w:line="240" w:lineRule="auto"/>
        <w:outlineLvl w:val="0"/>
        <w:rPr>
          <w:rFonts w:ascii="Arial" w:eastAsia="Times New Roman" w:hAnsi="Arial" w:cs="Arial"/>
          <w:b/>
          <w:bCs/>
          <w:color w:val="5B5E5F"/>
          <w:kern w:val="36"/>
          <w:sz w:val="36"/>
          <w:szCs w:val="36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kern w:val="36"/>
          <w:sz w:val="36"/>
          <w:szCs w:val="36"/>
          <w:lang w:eastAsia="ru-RU"/>
        </w:rPr>
        <w:t xml:space="preserve">Методические рекомендации MP 2.4.0179-20 "Рекомендации по организации питания обучающихся общеобразовательных организаций" (утв. Федеральной службой по надзору в сфере защиты прав потребителей и благополучия человека 18 мая 2020 г.) </w:t>
      </w:r>
    </w:p>
    <w:p w:rsidR="00B13FE6" w:rsidRPr="00B13FE6" w:rsidRDefault="00B13FE6" w:rsidP="00B13FE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vanish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vanish/>
          <w:color w:val="5B5E5F"/>
          <w:sz w:val="18"/>
          <w:szCs w:val="18"/>
          <w:lang w:eastAsia="ru-RU"/>
        </w:rPr>
        <w:t xml:space="preserve">Развернуть </w:t>
      </w:r>
    </w:p>
    <w:p w:rsidR="00B13FE6" w:rsidRPr="00B13FE6" w:rsidRDefault="00B13FE6" w:rsidP="00B13FE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hyperlink r:id="rId5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1. Среднесуточные наборы пищевых продуктов, в том числе, используемые для приготовления блюд и напитков, для обучающихся общеобразовательных организаций (в нетто г, мл, на 1 ребенка в сутки)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</w:t>
      </w:r>
    </w:p>
    <w:p w:rsidR="00B13FE6" w:rsidRPr="00B13FE6" w:rsidRDefault="00B13FE6" w:rsidP="00B13FE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hyperlink r:id="rId6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2. Примерные меню питания для обучающихся 1-4-х и 5-11-х классов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</w:t>
      </w:r>
    </w:p>
    <w:p w:rsidR="00B13FE6" w:rsidRPr="00B13FE6" w:rsidRDefault="00B13FE6" w:rsidP="00B13FE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hyperlink r:id="rId7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3. Таблица замены пищевой продукции в граммах (нетто) с учетом их пищевой ценности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</w:t>
      </w:r>
    </w:p>
    <w:p w:rsidR="00B13FE6" w:rsidRPr="00B13FE6" w:rsidRDefault="00B13FE6" w:rsidP="00B13FE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hyperlink r:id="rId8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4. Рекомендуемый минимальный перечень оборудования производственных помещений пищеблоков общеобразовательных организаций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</w:t>
      </w:r>
    </w:p>
    <w:p w:rsidR="00B13FE6" w:rsidRPr="00B13FE6" w:rsidRDefault="00B13FE6" w:rsidP="00B13FE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hyperlink r:id="rId9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5. Рекомендуемая номенклатура, объем и периодичность проведения лабораторных и инструментальных исследований в организациях питания общеобразовательных организаций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</w:t>
      </w:r>
    </w:p>
    <w:p w:rsidR="00B13FE6" w:rsidRPr="00B13FE6" w:rsidRDefault="00B13FE6" w:rsidP="00B13FE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hyperlink r:id="rId1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6. Справочная информация о пищевых продуктах для формирования конкурсной документации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pict/>
      </w:r>
      <w:bookmarkStart w:id="0" w:name="text"/>
      <w:bookmarkEnd w:id="0"/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2.4. Гигиена детей и подростков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Методические рекомендации MP 2.4.0179-20</w:t>
      </w: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br/>
        <w:t>"Рекомендации по организации питания обучающихся общеобразовательных организаций"</w:t>
      </w: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br/>
        <w:t>(утв. Федеральной службой по надзору в сфере защиты прав потребителей и благополучия человека 18 мая 2020 г.)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ind w:firstLine="680"/>
        <w:jc w:val="right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Введены впервые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I. Общие положения и область применения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1.1. Настоящие методические рекомендации (далее - MP) определяют основные положения по организации здорового питания обучающихся общеобразовательных организаций, в том числе обучающихся 1-4 классов.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1.2. MP предназначены для юридических лиц и индивидуальных предпринимателей, оказывающих услуги по организации питания в общеобразовательных организациях; для юридических лиц и индивидуальных предпринимателей, поставляющих (реализующих) пищевые продукты и продовольственное сырье в общеобразовательные организации; общеобразовательных организаций, органов управления образованием, органов и учреждений Роспотребнадзора.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1.3. MP направлены на организацию здорового питания, в том числе горячего в общеобразовательных организациях, формирование принципов рационального, сбалансированного питания при оказании услуг по организации питания. Реализованы принципы здорового питания, в том числе включающие уменьшение количества потребляемых кондитерских изделий, колбасных изделий, сахара и соли.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lastRenderedPageBreak/>
        <w:t>1.4. В MP предложены варианты базового меню для разработки региональных типовых меню, учитывающих территориальные, национальные и другие особенности питания населения.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II. Организация питания обучающихся в общеобразовательных организациях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2.1. Здоровое питание предусматривает первый прием пищи ребенком дома с учетом режима дня и организации образовательного процесса.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2.2. Обучающиеся общеобразовательных организаций, в зависимости от режима (смены) обучения обеспечиваются горячим питанием в виде завтрака и (или) обеда. Продолжительность перемены для приема пищи должна составлять не менее 20 минут. Обучающиеся первой смены обеспечиваются завтраком во вторую или третью перемены.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2.3. Завтрак должен состоять из горячего блюда и напитка, рекомендуется добавлять ягоды, фрукты и овощи.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Завтрак для обучающихся 1-4 классов должен содержать 12-16 г белка, 12-16 г жира и 48-60 г углеводов, для обучающихся старших классов - 15-20 г белка, 15-20 г жира и 60-80 г углеводов. Ассортимент продуктов и блюд завтрака должен быть разнообразным и может включать на выбор: крупяные и творожные блюда, мясные или рыбные блюда, молочные продукты (в том числе сыр, сливочное масло), блюда из яиц, овощи (свежие, тушеные, отварные), макаронные изделия и напитки.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2.4. Обучающиеся во вторую смену обеспечиваются обедом. Не допускается замена обеда завтраком.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Обед должен включать закуску (салат или свежие овощи), горячее первое, второе блюдо и напиток. Обед в зависимости от возраста обучающегося, должен содержать 20-25 г белка, 20-25 г жира и 80-100 г углеводов.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Для реализации принципов здорового питания целесообразно дополнение блюд свежими фруктами, ягодами. При этом фрукты должны выдаваться поштучно.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2.5. Меню разрабатывается на период не менее двух учебных недель, с учетом требуемых для детей поступления калорийности, белков, жиров, углеводов, витаминов и микроэлементов, необходимых для их нормального роста и развития.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Меню обеда должно быть составлено с учетом получаемого школьного завтрака. Если на завтрак выдавалось крупяное блюдо (каша, запеканка, макаронные изделия и пр.), то на обед - мясное или рыбное блюдо с овощным гарниром (картофель отварной, пюре, капуста тушеная, овощное рагу и пр.).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Для обеспечения биологической ценности в питании детей рекомендуется использовать: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продукты повышенной пищевой ценности, в т.ч. обогащенные продукты (макро-микронутриентами, витаминами, пищевыми волокнами и биологически активными веществами);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пищевые продукты с ограниченным содержанием жира, сахара и соли.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Содержание вносимой в блюдо соли на каждый прием пищи не рекомендуется превышать 1 грамм на человек.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При разработке меню рекомендуется руководствоваться следующим: включать блюда, технология приготовления которых обеспечивает сохранение вкусовых качеств, пищевой и биологической ценности продуктов и предусматривает использование щадящих методов кулинарной обработки.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Наименования блюд и кулинарных изделий в меню должны соответствовать их наименованиям, указанным в используемых сборниках рецептур.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Изготовление готовых блюд осуществляется в соответствии с технологическими картами, в которых указывается рецептура и технология приготовления блюд и кулинарных изделий.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lastRenderedPageBreak/>
        <w:t>В меню не допускается включать повторно одни и те же блюда в течение одного дня и двух последующих дней.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При составлении меню (завтраков, обедов, полдников, ужинов) рекомендуется использовать среднесуточные наборы продуктов (</w:t>
      </w:r>
      <w:hyperlink r:id="rId11" w:anchor="block_100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1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к настоящим MP).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Меню разрабатывается с учетом сезонности, необходимого количества основных пищевых веществ и требуемой калорийности суточного рациона, дифференцированного по возрастным группам (классам) обучающихся (</w:t>
      </w:r>
      <w:hyperlink r:id="rId12" w:anchor="block_200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2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к настоящим MP). На основе предлагаемых вариантов меню могут быть разработаны другие варианты в зависимости от региональных, национальных и других особенностей при условии соблюдения требований к содержанию и соотношению в рационе питания основных пищевых веществ.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Для обучающихся, нуждающихся в лечебном питании, разрабатывается отдельное меню в соответствии с утвержденным набором продуктов для данной патологии.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В исключительных случаях (нарушение графика подвоза, отсутствие необходимого запаса продуктов и т.п.) может проводиться замена блюд. Заменяемые продукты (блюда) должны быть аналогичны заменяемому продукту (блюду) по пищевым и биологически активным веществам (</w:t>
      </w:r>
      <w:hyperlink r:id="rId13" w:anchor="block_300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3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к настоящим MP).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2.6. Разрабатываемое для обучающихся 1-4 классов меню должно отвечать следующим рекомендациям: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2.6.1. Энергетическая ценность школьного завтрака должна составлять 400-550 ккал (20-25% от суточной калорийности), обеда - 600-750 ккал (30-35%).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2.6.2. Для общеобразовательных организаций, расположенных в Арктической зоне, необходимо повышать суточную калорийность пищевого рациона на 10%.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2.6.3. Суточный режим питания по отдельным приемам пищи и в зависимости от сменности занятий обучающихся представлен в </w:t>
      </w:r>
      <w:hyperlink r:id="rId14" w:anchor="block_1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таблице 1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. На домашние завтраки обучающихся в первую смену от суточного потребления в среднем может приходиться до 10% энергетической ценности.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ind w:firstLine="680"/>
        <w:jc w:val="right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Таблица 1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Режим питания по приемам пищи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tbl>
      <w:tblPr>
        <w:tblW w:w="1018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07"/>
        <w:gridCol w:w="1808"/>
        <w:gridCol w:w="1838"/>
        <w:gridCol w:w="1522"/>
        <w:gridCol w:w="1657"/>
        <w:gridCol w:w="1853"/>
      </w:tblGrid>
      <w:tr w:rsidR="00B13FE6" w:rsidRPr="00B13FE6" w:rsidTr="00B13FE6">
        <w:tc>
          <w:tcPr>
            <w:tcW w:w="51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 смена</w:t>
            </w:r>
          </w:p>
        </w:tc>
        <w:tc>
          <w:tcPr>
            <w:tcW w:w="501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 смена</w:t>
            </w:r>
          </w:p>
        </w:tc>
      </w:tr>
      <w:tr w:rsidR="00B13FE6" w:rsidRPr="00B13FE6" w:rsidTr="00B13FE6">
        <w:tc>
          <w:tcPr>
            <w:tcW w:w="15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Прием пищи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Часы приема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% к суточной калорийности</w:t>
            </w:r>
          </w:p>
        </w:tc>
        <w:tc>
          <w:tcPr>
            <w:tcW w:w="151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Прием пищи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Часы приема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% к суточной калорийности</w:t>
            </w:r>
          </w:p>
        </w:tc>
      </w:tr>
      <w:tr w:rsidR="00B13FE6" w:rsidRPr="00B13FE6" w:rsidTr="00B13FE6">
        <w:tc>
          <w:tcPr>
            <w:tcW w:w="15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9.30 - 11.00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20-25</w:t>
            </w:r>
          </w:p>
        </w:tc>
        <w:tc>
          <w:tcPr>
            <w:tcW w:w="151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7.30 - 8.30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20-25</w:t>
            </w:r>
          </w:p>
        </w:tc>
      </w:tr>
      <w:tr w:rsidR="00B13FE6" w:rsidRPr="00B13FE6" w:rsidTr="00B13FE6">
        <w:tc>
          <w:tcPr>
            <w:tcW w:w="15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13.30 - 14.30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51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12.30 - 13.30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30-35</w:t>
            </w:r>
          </w:p>
        </w:tc>
      </w:tr>
      <w:tr w:rsidR="00B13FE6" w:rsidRPr="00B13FE6" w:rsidTr="00B13FE6">
        <w:tc>
          <w:tcPr>
            <w:tcW w:w="15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Полдник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15.30 - 16.30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10-15</w:t>
            </w:r>
          </w:p>
        </w:tc>
        <w:tc>
          <w:tcPr>
            <w:tcW w:w="151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Полдник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15.30 - 16.30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10-15</w:t>
            </w:r>
          </w:p>
        </w:tc>
      </w:tr>
      <w:tr w:rsidR="00B13FE6" w:rsidRPr="00B13FE6" w:rsidTr="00B13FE6">
        <w:tc>
          <w:tcPr>
            <w:tcW w:w="15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Ужин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18.30 - 19.30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20-25</w:t>
            </w:r>
          </w:p>
        </w:tc>
        <w:tc>
          <w:tcPr>
            <w:tcW w:w="151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Ужин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18.30 - 19.30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20-25</w:t>
            </w:r>
          </w:p>
        </w:tc>
      </w:tr>
    </w:tbl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2.6.4. При составлении меню необходимо соблюдать требования по массе порций (блюд). Рекомендуемая масса блюд (порций) с учетом возраста обучающихся представлена в </w:t>
      </w:r>
      <w:hyperlink r:id="rId15" w:anchor="block_2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таблице 2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ind w:firstLine="680"/>
        <w:jc w:val="right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Таблица 2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lastRenderedPageBreak/>
        <w:t>Рекомендуемая масса порций блюд для обучающихся различного возраста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tbl>
      <w:tblPr>
        <w:tblW w:w="1018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7"/>
        <w:gridCol w:w="1660"/>
        <w:gridCol w:w="2248"/>
      </w:tblGrid>
      <w:tr w:rsidR="00B13FE6" w:rsidRPr="00B13FE6" w:rsidTr="00B13FE6">
        <w:tc>
          <w:tcPr>
            <w:tcW w:w="62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Название блюд</w:t>
            </w:r>
          </w:p>
        </w:tc>
        <w:tc>
          <w:tcPr>
            <w:tcW w:w="3885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Масса порций (в граммах, мл) для обучающихся двух возрастных групп</w:t>
            </w:r>
          </w:p>
        </w:tc>
      </w:tr>
      <w:tr w:rsidR="00B13FE6" w:rsidRPr="00B13FE6" w:rsidTr="00B13FE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B13FE6" w:rsidRPr="00B13FE6" w:rsidRDefault="00B13FE6" w:rsidP="00B13F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с 7 до 11 лет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с 12 лет и старше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Каша, овощное, яичное, творожное, мясное блюдо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150-200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200-250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Напитки (чай, какао, сок, компот, молоко, кефир и др.)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200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Закуски (салат, овощи в нарезке и т.п.)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60-100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60-150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Суп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200-250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250-300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Мясо, котлета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80-120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100-120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Гарнир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150-200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180-230</w:t>
            </w:r>
          </w:p>
        </w:tc>
      </w:tr>
      <w:tr w:rsidR="00B13FE6" w:rsidRPr="00B13FE6" w:rsidTr="00B13FE6">
        <w:tc>
          <w:tcPr>
            <w:tcW w:w="62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Фрукты (поштучно)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100-120</w:t>
            </w:r>
          </w:p>
        </w:tc>
        <w:tc>
          <w:tcPr>
            <w:tcW w:w="2205" w:type="dxa"/>
            <w:tcBorders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100-120</w:t>
            </w:r>
          </w:p>
        </w:tc>
      </w:tr>
    </w:tbl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2.7. Информация о питании детей, в том числе меню, доводится до родителей и детей любым доступным способом (размещается в обеденном зале, на доске (стенде) информации, на сайте общеобразовательной организации и т.п.).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III. Объемно-планировочные решения и размещение организаций общественного питания в общеобразовательных организациях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3.1. Организациями общественного питания общеобразовательных организаций для обслуживания обучающихся могут быть: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базовые организации школьного питания (комбинаты школьного питания, школьно-базовые столовые и т.п.), которые осуществляют закупки продовольственного сырья, производство кулинарной продукции, снабжение ими столовых общеобразовательных организаций.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В базовых организациях питания, столовых общеобразовательных организаций, работающих на продовольственном сырье и (или) полуфабрикатах, должны быть предусмотрены объемно-планировочные решения, набор помещений и оборудование, позволяющие осуществлять приготовление безопасной, с максимальным сохранением пищевой ценности, кулинарной продукции и ее реализацию;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столовые, работающие на продовольственном сырье или на полуфабрикатах, которые производят и (или) реализуют блюда в соответствии с разнообразным по дням недели меню;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столовые-доготовочные, на которых осуществляется приготовление блюд и кулинарных изделий из полуфабрикатов, порционирование и выдача блюд;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буфеты-раздаточные, осуществляющие реализацию готовых блюд, кулинарных, мучных кондитерских и булочных изделий, приготовление горячих напитков.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3.2. Питание обучающихся может осуществляться в помещениях, находящихся в основном здании общеобразовательной организации, пристроенных к зданию, или в отдельно стоящем здании. Рекомендуемый набор помещений приведен в </w:t>
      </w:r>
      <w:hyperlink r:id="rId16" w:anchor="block_400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приложении 4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к настоящим MP.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3.3. При оснащении пищеблоков необходимо учитывать современные тенденции по использованию технологического оборудования. При оснащении пищеблоков необходимым технологическим оборудованием и кухонной посудой (кастрюли с крышками, противни с крышками, гастроемкости с крышками и т.п.) учитываются количество приготавливаемых блюд, их объемы и виды (1-е, 2-е или 3-е блюдо), ассортимент основных блюд (мясо, рыба, птица), мощность технологического оборудования и т.п.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Примерный расчет технологического оборудования и кухонной посуды для пищеблоков: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lastRenderedPageBreak/>
        <w:t>- в соответствии с рецептурными сборниками, расчет закладки продуктов первых и третьих блюд проводится на 1000 мл.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Например, при организации обедов для обучающихся в количестве 400 человек необходимо приготовить не менее 100 литров 1-го блюда (400х250 мл) и 80 литров третьего (400х200 мл), следовательно, для первых блюд необходимо иметь не менее 2 кастрюль объемом по 50 л, для третьих - 2 кастрюли объемом по 40 л;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в составе технологического оборудования необходимо предусмотреть наличие не менее 2-х электроплит на 4 конфорки каждая. При наличии электрокотла (объемом не менее 100 л) возможно использование одной электроплиты на 6 конфорок.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Объем (выход) готовых гарниров составляет не менее 150 гр., следовательно, для гарниров необходимо наличие не менее 2 кастрюль объемом по 40 л (400х150 гр.).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Объем (выход) основных блюд (из мяса, рыбы, птицы) составляет не менее 80 гр. Для основных блюд необходимо наличие не менее 2 кастрюль объемом 20 л (400 чел. х 80 гр).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Для реализации принципов здорового питания, в современных условиях при строительстве, реконструкции, модернизации, капитальных ремонтах пищеблоков, рекомендуется проводить их оснащение пароконвекционными автоматами (пароконвектоматы), в которых возможно одномоментное приготовление основных блюд на всех обучающихся (400-450 чел.). Пароконвектоматы обеспечивают гастроемкостями установленных техническим паспортом объемов и конфигураций. Количество пароконвектоматов рассчитывается, исходя из производственной мощности и количества обучающихся.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С учетом использования щадящих методов приготовления блюд (парение, тушение, припускание и т.п.) и современных технологий приготовления основных блюд на пищеблоке необходимо наличие электрического духового (или жарочного) шкафа (на 3 или 4 секции), электросковороды.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Для раздачи основных блюд, приготовленных и (или) подаваемых с соусами, необходимо наличие на пищеблоке специального кухонного инвентаря (разливочные ложки, соусницы) с мерной меткой установленных объемов (50, 75 мл и т.д.). Для соусов необходимо наличие не менее 3 кастрюль объемом по 10 л (400 чел. х 75 мл).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Для раздачи блюд жидкой (полужидкой) консистенции (первые, третьи блюда, жидкие каши, молочные супы и т.п.) необходимо наличие на пищеблоке специального кухонного инвентаря (ковши) с длиной ручкой, позволяющей при приготовлении и раздаче перемешивать весь объем блюда в кастрюле, с мерной меткой установленных объемов (200, 250 мл и т.д.).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3.4. Производственные помещения пищеблоков оснащаются достаточным количеством холодильного оборудования для обеспечения условий, сроков хранения и товарного соседства различных видов продуктов и сырья.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3.5. Всё установленное в производственных помещениях технологическое и холодильное оборудование должно находиться в исправном состоянии.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В случае выхода из строя какого-либо технологического оборудования необходимо внести изменения в меню.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Ежегодно перед началом нового учебного года проводится технический контроль исправности технологического оборудования.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3.6. При доставке готовых блюд и холодных закусок в буфеты-раздаточные должны использоваться изотермические емкости, внутренняя поверхность которых выполнена из материалов, отвечающих требованиям, предъявляемым к материалам, разрешенным для контакта с пищевыми продуктами и поддерживает требуемый температурный режим.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3.7. В буфетах-раздаточных должны быть предусмотрены объемно-планировочные решения, набор помещений и оборудование, позволяющие осуществлять реализацию блюд, кулинарных изделий, а также приготовление горячих напитков и отдельных блюд.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Буфеты-раздаточные оборудуются минимальным набором помещений и оборудования: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lastRenderedPageBreak/>
        <w:t>- не менее 2-х моечных ванн (или одной 2-секционной) с обеспечением горячей и холодной воды к ним через смесители с душевыми насадками;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раковина для мытья рук;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два цельнометаллических производственных стола: один - для термоконтейнеров, второй - для нарезки (хлеба, овощей, сыра, масла и т.п.);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холодильник (холодильный шкаф);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стеллаж (шкаф) для хранения чистых: кухонного разделочного инвентаря, ножей, досок, столовой посуды и приборов.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Перед входом в комнату для приема пищи или непосредственно в комнате устанавливается не менее 2-х раковин для мытья рук обучающихся.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3.8. Порционирование и раздача блюд осуществляется персоналом пищеблока в одноразовых перчатках, кулинарных изделий (выпечка и т.п.) - с использованием специальных щипцов.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IV. Обеспечение контроля качества и организации питания обучающихся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4.1. Общеобразовательная организация является ответственным лицом за организацию и качество горячего питания обучающихся.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4.2. Независимо от организационных правовых форм, юридические лица и индивидуальные предприниматели, деятельность которых связана с организацией и (или) обеспечением горячего питания обучающихся обеспечивают реализацию мероприятий, направленных на охрану здоровья обучающихся, в том числе: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соблюдение требований качества и безопасности, сроков годности, поступающих на пищеблок продовольственного сырья и пищевых продуктов;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проведение производственного контроля, основанного на принципах ХАССП;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проведение лабораторного контроля качества и безопасности готовой продукции в соответствии с рекомендуемой номенклатурой, объемом и периодичностью проведения лабораторных и инструментальных исследований (</w:t>
      </w:r>
      <w:hyperlink r:id="rId17" w:anchor="block_500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5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к настоящим MP).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Лабораторные и инструментальные исследования обеспечивают подтверждение безопасности приготовляемых блюд, их соответствие гигиеническим требованиям, предъявляемых к пищевым продуктам, а также - подтверждение безопасности контактирующих с пищевыми продуктами предметами производственного окружения.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4.3. Общеобразовательная организация разъясняет принципы здорового питания и правила личной гигиены обучающимся.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4.4. Во время организации внеклассной работы педагогическому коллективу рекомендуется проведение бесед, лекций, викторин, иных форм и методов занятий по гигиеническим навыкам и здоровому питанию, в том числе о значении горячего питания, пищевой и питательной ценности продуктов, культуры питания.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4.5. Наглядными формами прививания навыков здорового питания могут быть плакаты, иллюстрированные лозунги в столовой, буфете, в "уголке здоровья" и т.п.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4.6. Решение вопросов качественного и здорового питания обучающихся, пропаганда основ здорового питания рекомендуется организовывать во взаимодействии образовательной организации с общешкольным родительским комитетом, общественными организациями.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lastRenderedPageBreak/>
        <w:t>4.7. При подготовке к проведению конкурсных процедур (аукционов) по поставке продуктов и (или) организации питания обучающимся общеобразовательной организацией или лицом, ответственным за проведением данных процедур, определяются виды и количественные объемы необходимых продуктов, а также предъявляются технические характеристики качества каждого наименования продукта (</w:t>
      </w:r>
      <w:hyperlink r:id="rId18" w:anchor="block_6000" w:history="1">
        <w:r w:rsidRPr="00B13FE6">
          <w:rPr>
            <w:rFonts w:ascii="Arial" w:eastAsia="Times New Roman" w:hAnsi="Arial" w:cs="Arial"/>
            <w:b/>
            <w:bCs/>
            <w:color w:val="3272C0"/>
            <w:sz w:val="18"/>
            <w:szCs w:val="18"/>
            <w:lang w:eastAsia="ru-RU"/>
          </w:rPr>
          <w:t>приложение 6</w:t>
        </w:r>
      </w:hyperlink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 xml:space="preserve"> к настоящим MP). Данные характеристики учитываются и при определении прямых поставок продукции (без конкурсных процедур).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4.8. При подготовке технического задания на проведение конкурса (аукциона и пр.) на поставку продуктов, необходимо вносить такие характеристики, как калибровка фруктов (определение среднего веса (яблока 100-120 гр., мандарин - 60-70 гр. и др.); кроме того, обязательными условиями является соответствие продуктов (по наименованиям, группам) требованиям технических регламентов.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V. Организация мониторинга горячего питания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5.1. Мониторинг горячего питания проводится с целью оценки эффективности организации горячего здорового питания обучающихся в общеобразовательных организациях, повышения доступности здорового питания, формирования у обучающихся навыков здорового питания. Мониторинг проводят учредитель общеобразовательной организации, государственные и муниципальные органы управления образованием и орган управления общеобразовательной организацией.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5.2. Показателями мониторинга горячего питания являются: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количество обучающихся всего, в т.ч. 1-4 классов, 5-11 классов;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количество обучающихся в первую смену всего, в т.ч. 1-4 классов, 5-11 классов;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количество обучающихся во вторую смену всего, в т.ч. 1-4 классов, 5-11 классов;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тип пищеблока (столовые, работающие на продовольственном сырье, столовые, работающие на полуфабрикатах (доготовочные), буфеты-раздаточные);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количество посадочных мест в обеденном зале;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соответствие меню положениям настоящих рекомендаций;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организация и проведение производственного контроля и лабораторных исследований (испытаний) в соответствии с положениями настоящих рекомендаций;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наличие родительского (общественного контроля) за организацией питания детей;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объем и вид пищевых отходов после приема пищи;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информация по выполнению контрактных обязательств о качестве и безопасности поставляемых пищевых продуктов.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- удовлетворенность питанием обучающихся и родителей.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5.3. С целью автоматизации процедур сбора и оценки показателей используются программные средства.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p w:rsidR="00B13FE6" w:rsidRPr="00B13FE6" w:rsidRDefault="00B13FE6" w:rsidP="00B13F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</w:pPr>
      <w:r w:rsidRPr="00B13FE6">
        <w:rPr>
          <w:rFonts w:ascii="Arial" w:eastAsia="Times New Roman" w:hAnsi="Arial" w:cs="Arial"/>
          <w:b/>
          <w:bCs/>
          <w:color w:val="5B5E5F"/>
          <w:sz w:val="18"/>
          <w:szCs w:val="18"/>
          <w:lang w:eastAsia="ru-RU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5"/>
      </w:tblGrid>
      <w:tr w:rsidR="00B13FE6" w:rsidRPr="00B13FE6" w:rsidTr="00B13FE6">
        <w:tc>
          <w:tcPr>
            <w:tcW w:w="3300" w:type="pct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13FE6" w:rsidRPr="00B13FE6" w:rsidRDefault="00B13FE6" w:rsidP="00B13FE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</w:pP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t>Руководитель Федеральной службы по</w:t>
            </w: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br/>
              <w:t>надзору в сфере защиты прав</w:t>
            </w: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br/>
              <w:t>потребителей и благополучия человека,</w:t>
            </w: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br/>
            </w: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lastRenderedPageBreak/>
              <w:t>Главный государственный санитарный</w:t>
            </w:r>
            <w:r w:rsidRPr="00B13FE6">
              <w:rPr>
                <w:rFonts w:ascii="Arial" w:eastAsia="Times New Roman" w:hAnsi="Arial" w:cs="Arial"/>
                <w:b/>
                <w:bCs/>
                <w:color w:val="5B5E5F"/>
                <w:sz w:val="18"/>
                <w:szCs w:val="18"/>
                <w:lang w:eastAsia="ru-RU"/>
              </w:rPr>
              <w:br/>
              <w:t>врач Российской Федерации</w:t>
            </w:r>
          </w:p>
        </w:tc>
      </w:tr>
    </w:tbl>
    <w:p w:rsidR="00606398" w:rsidRDefault="00606398">
      <w:bookmarkStart w:id="1" w:name="_GoBack"/>
      <w:bookmarkEnd w:id="1"/>
    </w:p>
    <w:sectPr w:rsidR="006063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F521BE"/>
    <w:multiLevelType w:val="multilevel"/>
    <w:tmpl w:val="5B9E3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FE6"/>
    <w:rsid w:val="00606398"/>
    <w:rsid w:val="00B1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237259-9272-4578-A441-2324C631D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13FE6"/>
    <w:pPr>
      <w:spacing w:before="161" w:after="16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3FE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13FE6"/>
    <w:rPr>
      <w:strike w:val="0"/>
      <w:dstrike w:val="0"/>
      <w:color w:val="3272C0"/>
      <w:u w:val="none"/>
      <w:effect w:val="none"/>
      <w:shd w:val="clear" w:color="auto" w:fill="auto"/>
    </w:rPr>
  </w:style>
  <w:style w:type="paragraph" w:styleId="a4">
    <w:name w:val="Normal (Web)"/>
    <w:basedOn w:val="a"/>
    <w:uiPriority w:val="99"/>
    <w:semiHidden/>
    <w:unhideWhenUsed/>
    <w:rsid w:val="00B13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B13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B13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B13FE6"/>
  </w:style>
  <w:style w:type="paragraph" w:customStyle="1" w:styleId="s16">
    <w:name w:val="s_16"/>
    <w:basedOn w:val="a"/>
    <w:rsid w:val="00B13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3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79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08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07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265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16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224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027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9975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55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543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891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571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5463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0175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35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9930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411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1759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660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543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8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7374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6570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140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18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2836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30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665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9318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792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8549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4695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5340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3320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188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248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78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159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683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290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4238456/172a6d689833ce3e42dc0a8a7b3cddf9/" TargetMode="External"/><Relationship Id="rId13" Type="http://schemas.openxmlformats.org/officeDocument/2006/relationships/hyperlink" Target="https://base.garant.ru/74238456/3e22e51c74db8e0b182fad67b502e640/" TargetMode="External"/><Relationship Id="rId18" Type="http://schemas.openxmlformats.org/officeDocument/2006/relationships/hyperlink" Target="https://base.garant.ru/74238456/7dede6ac8f25be619ed07c17ed1c62c9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ase.garant.ru/74238456/3e22e51c74db8e0b182fad67b502e640/" TargetMode="External"/><Relationship Id="rId12" Type="http://schemas.openxmlformats.org/officeDocument/2006/relationships/hyperlink" Target="https://base.garant.ru/74238456/f7ee959fd36b5699076b35abf4f52c5c/" TargetMode="External"/><Relationship Id="rId17" Type="http://schemas.openxmlformats.org/officeDocument/2006/relationships/hyperlink" Target="https://base.garant.ru/74238456/c9c989f1e999992b41b30686f0032f7d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ase.garant.ru/74238456/172a6d689833ce3e42dc0a8a7b3cddf9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base.garant.ru/74238456/f7ee959fd36b5699076b35abf4f52c5c/" TargetMode="External"/><Relationship Id="rId11" Type="http://schemas.openxmlformats.org/officeDocument/2006/relationships/hyperlink" Target="https://base.garant.ru/74238456/53f89421bbdaf741eb2d1ecc4ddb4c33/" TargetMode="External"/><Relationship Id="rId5" Type="http://schemas.openxmlformats.org/officeDocument/2006/relationships/hyperlink" Target="https://base.garant.ru/74238456/53f89421bbdaf741eb2d1ecc4ddb4c33/" TargetMode="External"/><Relationship Id="rId15" Type="http://schemas.openxmlformats.org/officeDocument/2006/relationships/hyperlink" Target="https://base.garant.ru/74238456/7b043d7bde99aa0f9005b52966c632fa/" TargetMode="External"/><Relationship Id="rId10" Type="http://schemas.openxmlformats.org/officeDocument/2006/relationships/hyperlink" Target="https://base.garant.ru/74238456/7dede6ac8f25be619ed07c17ed1c62c9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74238456/c9c989f1e999992b41b30686f0032f7d/" TargetMode="External"/><Relationship Id="rId14" Type="http://schemas.openxmlformats.org/officeDocument/2006/relationships/hyperlink" Target="https://base.garant.ru/74238456/7b043d7bde99aa0f9005b52966c632f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3134</Words>
  <Characters>17869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</cp:revision>
  <dcterms:created xsi:type="dcterms:W3CDTF">2020-09-04T08:04:00Z</dcterms:created>
  <dcterms:modified xsi:type="dcterms:W3CDTF">2020-09-04T08:04:00Z</dcterms:modified>
</cp:coreProperties>
</file>